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49F" w:rsidRDefault="00D403FF" w:rsidP="00D403F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 Antiqu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D0862C7" wp14:editId="6A9CEAC2">
            <wp:extent cx="2543580" cy="7151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0770" cy="71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8A1" w:rsidRPr="00D403FF" w:rsidRDefault="00D403FF" w:rsidP="004417F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 Antiqua"/>
          <w:b/>
          <w:bCs/>
          <w:sz w:val="24"/>
          <w:szCs w:val="24"/>
        </w:rPr>
      </w:pPr>
      <w:r w:rsidRPr="00D403FF">
        <w:rPr>
          <w:rFonts w:ascii="Bookman Old Style" w:hAnsi="Bookman Old Style" w:cs="Book Antiqua"/>
          <w:b/>
          <w:bCs/>
          <w:sz w:val="24"/>
          <w:szCs w:val="24"/>
        </w:rPr>
        <w:t>GUIDELINES TO BE FOLLOWED</w:t>
      </w:r>
      <w:r w:rsidR="001B7F03" w:rsidRPr="00D403FF">
        <w:rPr>
          <w:rFonts w:ascii="Bookman Old Style" w:hAnsi="Bookman Old Style" w:cs="Book Antiqua"/>
          <w:b/>
          <w:bCs/>
          <w:sz w:val="24"/>
          <w:szCs w:val="24"/>
        </w:rPr>
        <w:t xml:space="preserve"> </w:t>
      </w:r>
      <w:r w:rsidR="008339D4">
        <w:rPr>
          <w:rFonts w:ascii="Bookman Old Style" w:hAnsi="Bookman Old Style" w:cs="Book Antiqua"/>
          <w:b/>
          <w:bCs/>
          <w:sz w:val="24"/>
          <w:szCs w:val="24"/>
        </w:rPr>
        <w:t>BEFORE</w:t>
      </w:r>
      <w:r w:rsidR="001B7F03" w:rsidRPr="00D403FF">
        <w:rPr>
          <w:rFonts w:ascii="Bookman Old Style" w:hAnsi="Bookman Old Style" w:cs="Book Antiqua"/>
          <w:b/>
          <w:bCs/>
          <w:sz w:val="24"/>
          <w:szCs w:val="24"/>
        </w:rPr>
        <w:t xml:space="preserve"> VIVA-VOCE EXAMINATION </w:t>
      </w:r>
    </w:p>
    <w:p w:rsidR="00E0393C" w:rsidRPr="006829C9" w:rsidRDefault="00E0393C" w:rsidP="004043E3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 Antiqua"/>
          <w:bCs/>
          <w:sz w:val="24"/>
          <w:szCs w:val="24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659"/>
        <w:gridCol w:w="8989"/>
      </w:tblGrid>
      <w:tr w:rsidR="00D403FF" w:rsidRPr="00460D33" w:rsidTr="00D403FF">
        <w:tc>
          <w:tcPr>
            <w:tcW w:w="659" w:type="dxa"/>
            <w:vAlign w:val="center"/>
          </w:tcPr>
          <w:p w:rsidR="00D403FF" w:rsidRPr="00460D33" w:rsidRDefault="00D403FF" w:rsidP="009B50C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1</w:t>
            </w:r>
          </w:p>
        </w:tc>
        <w:tc>
          <w:tcPr>
            <w:tcW w:w="8989" w:type="dxa"/>
            <w:vAlign w:val="center"/>
          </w:tcPr>
          <w:p w:rsidR="00D403FF" w:rsidRDefault="00D403FF" w:rsidP="007F7BE6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Signed Annexure-I </w:t>
            </w:r>
            <w:r w:rsidRPr="005D35AC">
              <w:rPr>
                <w:rFonts w:ascii="Bookman Old Style" w:hAnsi="Bookman Old Style" w:cs="Book Antiqua"/>
                <w:b/>
                <w:bCs/>
                <w:i/>
                <w:sz w:val="24"/>
                <w:szCs w:val="24"/>
              </w:rPr>
              <w:t>(except external examiner)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</w:t>
            </w:r>
            <w:r w:rsidR="007F7BE6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should be 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sent to CoE office</w:t>
            </w:r>
            <w:r w:rsidR="00F96FE4">
              <w:rPr>
                <w:rFonts w:ascii="Bookman Old Style" w:hAnsi="Bookman Old Style" w:cs="Book Antiqua"/>
                <w:bCs/>
                <w:sz w:val="24"/>
                <w:szCs w:val="24"/>
              </w:rPr>
              <w:t>.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</w:t>
            </w:r>
          </w:p>
        </w:tc>
      </w:tr>
      <w:tr w:rsidR="00D403FF" w:rsidRPr="00460D33" w:rsidTr="00D403FF">
        <w:tc>
          <w:tcPr>
            <w:tcW w:w="659" w:type="dxa"/>
            <w:vAlign w:val="center"/>
          </w:tcPr>
          <w:p w:rsidR="00D403FF" w:rsidRPr="00460D33" w:rsidRDefault="00D403FF" w:rsidP="009B50C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2</w:t>
            </w:r>
          </w:p>
        </w:tc>
        <w:tc>
          <w:tcPr>
            <w:tcW w:w="8989" w:type="dxa"/>
            <w:vAlign w:val="center"/>
          </w:tcPr>
          <w:p w:rsidR="00D403FF" w:rsidRPr="00460D33" w:rsidRDefault="00D403FF" w:rsidP="00F96FE4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Minutes, Statement of Marks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&amp; List of Participants of 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Viva-Voce Examination </w:t>
            </w:r>
            <w:r w:rsidR="007F7BE6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should be 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downloaded from the web site</w:t>
            </w:r>
            <w:r w:rsidR="00F96FE4">
              <w:rPr>
                <w:rFonts w:ascii="Bookman Old Style" w:hAnsi="Bookman Old Style" w:cs="Book Antiqua"/>
                <w:bCs/>
                <w:sz w:val="24"/>
                <w:szCs w:val="24"/>
              </w:rPr>
              <w:t>.</w:t>
            </w:r>
          </w:p>
        </w:tc>
      </w:tr>
      <w:tr w:rsidR="00D403FF" w:rsidRPr="00460D33" w:rsidTr="00D403FF">
        <w:tc>
          <w:tcPr>
            <w:tcW w:w="659" w:type="dxa"/>
            <w:vAlign w:val="center"/>
          </w:tcPr>
          <w:p w:rsidR="00D403FF" w:rsidRDefault="00D403FF" w:rsidP="009B50C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3</w:t>
            </w:r>
          </w:p>
        </w:tc>
        <w:tc>
          <w:tcPr>
            <w:tcW w:w="8989" w:type="dxa"/>
            <w:vAlign w:val="center"/>
          </w:tcPr>
          <w:p w:rsidR="00D403FF" w:rsidRPr="00460D33" w:rsidRDefault="00D403FF" w:rsidP="007F7BE6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The Research Supervisor </w:t>
            </w:r>
            <w:r w:rsidR="007F7BE6">
              <w:rPr>
                <w:rFonts w:ascii="Bookman Old Style" w:hAnsi="Bookman Old Style" w:cs="Book Antiqua"/>
                <w:bCs/>
                <w:sz w:val="24"/>
                <w:szCs w:val="24"/>
              </w:rPr>
              <w:t>should forward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the Final Thesis (Hard-Copy) to the Chairman</w:t>
            </w:r>
            <w:r w:rsidR="007F7BE6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(A</w:t>
            </w:r>
            <w:r w:rsidR="00F96FE4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fter the viva-voce examination 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the same will be kept in the respective library)</w:t>
            </w:r>
            <w:r w:rsidR="00F96FE4">
              <w:rPr>
                <w:rFonts w:ascii="Bookman Old Style" w:hAnsi="Bookman Old Style" w:cs="Book Antiqua"/>
                <w:bCs/>
                <w:sz w:val="24"/>
                <w:szCs w:val="24"/>
              </w:rPr>
              <w:t>.</w:t>
            </w:r>
          </w:p>
        </w:tc>
      </w:tr>
      <w:tr w:rsidR="00D403FF" w:rsidRPr="00460D33" w:rsidTr="00D403FF">
        <w:tc>
          <w:tcPr>
            <w:tcW w:w="659" w:type="dxa"/>
            <w:vAlign w:val="center"/>
          </w:tcPr>
          <w:p w:rsidR="00D403FF" w:rsidRPr="00460D33" w:rsidRDefault="00D403FF" w:rsidP="009B50C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4</w:t>
            </w:r>
          </w:p>
        </w:tc>
        <w:tc>
          <w:tcPr>
            <w:tcW w:w="8989" w:type="dxa"/>
            <w:vAlign w:val="center"/>
          </w:tcPr>
          <w:p w:rsidR="00D403FF" w:rsidRPr="00460D33" w:rsidRDefault="007F7BE6" w:rsidP="007F7BE6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All the </w:t>
            </w:r>
            <w:r w:rsidR="00D403FF"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Oral Board members 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should be </w:t>
            </w:r>
            <w:r w:rsidR="00D403FF"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present during viva-voce examination</w:t>
            </w:r>
            <w:r w:rsidR="00F96FE4">
              <w:rPr>
                <w:rFonts w:ascii="Bookman Old Style" w:hAnsi="Bookman Old Style" w:cs="Book Antiqua"/>
                <w:bCs/>
                <w:sz w:val="24"/>
                <w:szCs w:val="24"/>
              </w:rPr>
              <w:t>.</w:t>
            </w:r>
            <w:r w:rsidR="00D403FF"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</w:t>
            </w:r>
          </w:p>
        </w:tc>
      </w:tr>
      <w:tr w:rsidR="00D403FF" w:rsidRPr="00460D33" w:rsidTr="00D403FF">
        <w:tc>
          <w:tcPr>
            <w:tcW w:w="659" w:type="dxa"/>
            <w:vAlign w:val="center"/>
          </w:tcPr>
          <w:p w:rsidR="00D403FF" w:rsidRPr="00460D33" w:rsidRDefault="00D403FF" w:rsidP="009B50C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5</w:t>
            </w:r>
          </w:p>
        </w:tc>
        <w:tc>
          <w:tcPr>
            <w:tcW w:w="8989" w:type="dxa"/>
            <w:vAlign w:val="center"/>
          </w:tcPr>
          <w:p w:rsidR="00D403FF" w:rsidRPr="007F7BE6" w:rsidRDefault="00D403FF" w:rsidP="00F96FE4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i/>
                <w:sz w:val="24"/>
                <w:szCs w:val="24"/>
              </w:rPr>
            </w:pP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Claim form </w:t>
            </w:r>
            <w:r w:rsidR="007F7BE6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should be 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downloaded from the web site (Remuneration will be </w:t>
            </w:r>
            <w:r w:rsidR="00F96FE4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paid only by the CoE office. </w:t>
            </w:r>
            <w:r w:rsidR="007F7BE6" w:rsidRPr="007F7BE6">
              <w:rPr>
                <w:rFonts w:ascii="Bookman Old Style" w:hAnsi="Bookman Old Style" w:cs="Book Antiqua"/>
                <w:bCs/>
                <w:sz w:val="24"/>
                <w:szCs w:val="24"/>
              </w:rPr>
              <w:t>The Research Supervisor or Scholar should not take any advance in this regard</w:t>
            </w:r>
            <w:r w:rsidRPr="007F7BE6">
              <w:rPr>
                <w:rFonts w:ascii="Bookman Old Style" w:hAnsi="Bookman Old Style" w:cs="Book Antiqua"/>
                <w:bCs/>
                <w:sz w:val="24"/>
                <w:szCs w:val="24"/>
              </w:rPr>
              <w:t>)</w:t>
            </w:r>
            <w:r w:rsidR="00F96FE4">
              <w:rPr>
                <w:rFonts w:ascii="Bookman Old Style" w:hAnsi="Bookman Old Style" w:cs="Book Antiqua"/>
                <w:bCs/>
                <w:sz w:val="24"/>
                <w:szCs w:val="24"/>
              </w:rPr>
              <w:t>.</w:t>
            </w:r>
          </w:p>
        </w:tc>
      </w:tr>
    </w:tbl>
    <w:p w:rsidR="004417F9" w:rsidRDefault="004417F9" w:rsidP="003F0D13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 Antiqua"/>
          <w:b/>
          <w:bCs/>
          <w:sz w:val="24"/>
          <w:szCs w:val="24"/>
        </w:rPr>
      </w:pPr>
    </w:p>
    <w:p w:rsidR="00610E08" w:rsidRPr="007F7BE6" w:rsidRDefault="003F0D13" w:rsidP="003F0D13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 Antiqua"/>
          <w:b/>
          <w:bCs/>
          <w:sz w:val="24"/>
          <w:szCs w:val="24"/>
        </w:rPr>
      </w:pPr>
      <w:r w:rsidRPr="007F7BE6">
        <w:rPr>
          <w:rFonts w:ascii="Bookman Old Style" w:hAnsi="Bookman Old Style" w:cs="Book Antiqua"/>
          <w:b/>
          <w:bCs/>
          <w:sz w:val="24"/>
          <w:szCs w:val="24"/>
        </w:rPr>
        <w:t xml:space="preserve">AFTER </w:t>
      </w:r>
      <w:r w:rsidR="00610E08" w:rsidRPr="007F7BE6">
        <w:rPr>
          <w:rFonts w:ascii="Bookman Old Style" w:hAnsi="Bookman Old Style" w:cs="Book Antiqua"/>
          <w:b/>
          <w:bCs/>
          <w:sz w:val="24"/>
          <w:szCs w:val="24"/>
        </w:rPr>
        <w:t>VIVA-VOCE EXAMINATION</w:t>
      </w:r>
    </w:p>
    <w:p w:rsidR="00610E08" w:rsidRPr="006829C9" w:rsidRDefault="00610E08" w:rsidP="00610E0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 Antiqua"/>
          <w:bCs/>
          <w:sz w:val="24"/>
          <w:szCs w:val="24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621"/>
        <w:gridCol w:w="8937"/>
      </w:tblGrid>
      <w:tr w:rsidR="00D403FF" w:rsidRPr="00460D33" w:rsidTr="00D403FF">
        <w:tc>
          <w:tcPr>
            <w:tcW w:w="621" w:type="dxa"/>
            <w:vAlign w:val="center"/>
          </w:tcPr>
          <w:p w:rsidR="00D403FF" w:rsidRPr="00460D33" w:rsidRDefault="00D403FF" w:rsidP="009B50C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1</w:t>
            </w:r>
          </w:p>
        </w:tc>
        <w:tc>
          <w:tcPr>
            <w:tcW w:w="8937" w:type="dxa"/>
            <w:vAlign w:val="center"/>
          </w:tcPr>
          <w:p w:rsidR="00D403FF" w:rsidRPr="00460D33" w:rsidRDefault="00D403FF" w:rsidP="007F7BE6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All the oral board members </w:t>
            </w:r>
            <w:r w:rsidR="007F7BE6">
              <w:rPr>
                <w:rFonts w:ascii="Bookman Old Style" w:hAnsi="Bookman Old Style" w:cs="Book Antiqua"/>
                <w:bCs/>
                <w:sz w:val="24"/>
                <w:szCs w:val="24"/>
              </w:rPr>
              <w:t>should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</w:t>
            </w:r>
            <w:r w:rsidR="00F96FE4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have 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si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gn</w:t>
            </w:r>
            <w:r w:rsidR="00F96FE4">
              <w:rPr>
                <w:rFonts w:ascii="Bookman Old Style" w:hAnsi="Bookman Old Style" w:cs="Book Antiqua"/>
                <w:bCs/>
                <w:sz w:val="24"/>
                <w:szCs w:val="24"/>
              </w:rPr>
              <w:t>ed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in the Minutes of the 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viva-voce examination</w:t>
            </w:r>
            <w:r w:rsidR="00F96FE4">
              <w:rPr>
                <w:rFonts w:ascii="Bookman Old Style" w:hAnsi="Bookman Old Style" w:cs="Book Antiqua"/>
                <w:bCs/>
                <w:sz w:val="24"/>
                <w:szCs w:val="24"/>
              </w:rPr>
              <w:t>.</w:t>
            </w:r>
          </w:p>
        </w:tc>
      </w:tr>
      <w:tr w:rsidR="00D403FF" w:rsidRPr="00460D33" w:rsidTr="00D403FF">
        <w:tc>
          <w:tcPr>
            <w:tcW w:w="621" w:type="dxa"/>
            <w:vAlign w:val="center"/>
          </w:tcPr>
          <w:p w:rsidR="00D403FF" w:rsidRPr="00460D33" w:rsidRDefault="00D403FF" w:rsidP="009B50C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2</w:t>
            </w:r>
          </w:p>
        </w:tc>
        <w:tc>
          <w:tcPr>
            <w:tcW w:w="8937" w:type="dxa"/>
            <w:vAlign w:val="center"/>
          </w:tcPr>
          <w:p w:rsidR="00D403FF" w:rsidRPr="00460D33" w:rsidRDefault="00D403FF" w:rsidP="007F7BE6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Minutes, Statement of Marks 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&amp; List of Participants </w:t>
            </w:r>
            <w:r w:rsidRPr="00460D33">
              <w:rPr>
                <w:rFonts w:ascii="Bookman Old Style" w:hAnsi="Bookman Old Style" w:cs="Book Antiqua"/>
                <w:b/>
                <w:bCs/>
                <w:sz w:val="24"/>
                <w:szCs w:val="24"/>
              </w:rPr>
              <w:t>(Original)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</w:t>
            </w:r>
            <w:r w:rsidR="007F7BE6">
              <w:rPr>
                <w:rFonts w:ascii="Bookman Old Style" w:hAnsi="Bookman Old Style" w:cs="Book Antiqua"/>
                <w:bCs/>
                <w:sz w:val="24"/>
                <w:szCs w:val="24"/>
              </w:rPr>
              <w:t>should be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enclosed</w:t>
            </w:r>
            <w:r w:rsidR="00F96FE4">
              <w:rPr>
                <w:rFonts w:ascii="Bookman Old Style" w:hAnsi="Bookman Old Style" w:cs="Book Antiqua"/>
                <w:bCs/>
                <w:sz w:val="24"/>
                <w:szCs w:val="24"/>
              </w:rPr>
              <w:t>.</w:t>
            </w:r>
          </w:p>
        </w:tc>
      </w:tr>
      <w:tr w:rsidR="00D403FF" w:rsidRPr="00460D33" w:rsidTr="00D403FF">
        <w:tc>
          <w:tcPr>
            <w:tcW w:w="621" w:type="dxa"/>
            <w:vAlign w:val="center"/>
          </w:tcPr>
          <w:p w:rsidR="00D403FF" w:rsidRPr="00460D33" w:rsidRDefault="00D403FF" w:rsidP="009B50C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3</w:t>
            </w:r>
          </w:p>
        </w:tc>
        <w:tc>
          <w:tcPr>
            <w:tcW w:w="8937" w:type="dxa"/>
            <w:vAlign w:val="center"/>
          </w:tcPr>
          <w:p w:rsidR="00D403FF" w:rsidRPr="00460D33" w:rsidRDefault="007F7BE6" w:rsidP="007F7BE6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A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ny suggestions/corrections 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given by t</w:t>
            </w:r>
            <w:r w:rsidR="00D403FF"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he oral examination board 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should be </w:t>
            </w:r>
            <w:r w:rsidR="00D403FF"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carried 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out </w:t>
            </w:r>
            <w:r w:rsidR="00D403FF"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in the Thesis</w:t>
            </w:r>
            <w:r w:rsidR="00C704DA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by the research scholar</w:t>
            </w:r>
            <w:r w:rsidR="0065332A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and the corrected thesis should be forwarded by the </w:t>
            </w:r>
            <w:r w:rsidR="0065332A"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Research Supervisor &amp; Chairman to the Controller of Examinations directly</w:t>
            </w:r>
            <w:r w:rsidR="00F96FE4">
              <w:rPr>
                <w:rFonts w:ascii="Bookman Old Style" w:hAnsi="Bookman Old Style" w:cs="Book Antiqua"/>
                <w:bCs/>
                <w:sz w:val="24"/>
                <w:szCs w:val="24"/>
              </w:rPr>
              <w:t>.</w:t>
            </w:r>
            <w:r w:rsidR="0065332A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</w:t>
            </w:r>
          </w:p>
        </w:tc>
      </w:tr>
      <w:tr w:rsidR="00D403FF" w:rsidRPr="00460D33" w:rsidTr="00D403FF">
        <w:tc>
          <w:tcPr>
            <w:tcW w:w="621" w:type="dxa"/>
            <w:vAlign w:val="center"/>
          </w:tcPr>
          <w:p w:rsidR="00D403FF" w:rsidRPr="00460D33" w:rsidRDefault="0065332A" w:rsidP="009B50CB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4</w:t>
            </w:r>
          </w:p>
        </w:tc>
        <w:tc>
          <w:tcPr>
            <w:tcW w:w="8937" w:type="dxa"/>
            <w:vAlign w:val="center"/>
          </w:tcPr>
          <w:p w:rsidR="00D403FF" w:rsidRPr="00460D33" w:rsidRDefault="00D403FF" w:rsidP="00781CB5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The filled 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in 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Claim form </w:t>
            </w:r>
            <w:r w:rsidRPr="00EC6C50">
              <w:rPr>
                <w:rFonts w:ascii="Bookman Old Style" w:hAnsi="Bookman Old Style" w:cs="Book Antiqua"/>
                <w:b/>
                <w:bCs/>
                <w:sz w:val="24"/>
                <w:szCs w:val="24"/>
              </w:rPr>
              <w:t>(original)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is enclosed</w:t>
            </w:r>
          </w:p>
        </w:tc>
      </w:tr>
    </w:tbl>
    <w:p w:rsidR="003D68A1" w:rsidRDefault="003D68A1" w:rsidP="00735E0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 Antiqua"/>
          <w:bCs/>
          <w:sz w:val="24"/>
          <w:szCs w:val="24"/>
        </w:rPr>
      </w:pPr>
    </w:p>
    <w:p w:rsidR="000C71EE" w:rsidRPr="0065332A" w:rsidRDefault="00EF55A7" w:rsidP="000C71E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 Antiqua"/>
          <w:b/>
          <w:bCs/>
          <w:sz w:val="24"/>
          <w:szCs w:val="24"/>
        </w:rPr>
      </w:pPr>
      <w:r w:rsidRPr="0065332A">
        <w:rPr>
          <w:rFonts w:ascii="Bookman Old Style" w:hAnsi="Bookman Old Style" w:cs="Book Antiqua"/>
          <w:b/>
          <w:bCs/>
          <w:sz w:val="24"/>
          <w:szCs w:val="24"/>
        </w:rPr>
        <w:t>REMUNERATION PROCEDURE</w:t>
      </w:r>
      <w:r w:rsidR="00D4724A" w:rsidRPr="0065332A">
        <w:rPr>
          <w:rFonts w:ascii="Bookman Old Style" w:hAnsi="Bookman Old Style" w:cs="Book Antiqua"/>
          <w:b/>
          <w:bCs/>
          <w:sz w:val="24"/>
          <w:szCs w:val="24"/>
        </w:rPr>
        <w:t xml:space="preserve"> </w:t>
      </w:r>
    </w:p>
    <w:p w:rsidR="00460D33" w:rsidRPr="006829C9" w:rsidRDefault="00460D33" w:rsidP="00547D65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 Antiqua"/>
          <w:bCs/>
          <w:sz w:val="24"/>
          <w:szCs w:val="24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648"/>
        <w:gridCol w:w="8910"/>
      </w:tblGrid>
      <w:tr w:rsidR="007F7BE6" w:rsidRPr="00460D33" w:rsidTr="007F7BE6">
        <w:tc>
          <w:tcPr>
            <w:tcW w:w="648" w:type="dxa"/>
            <w:vAlign w:val="center"/>
          </w:tcPr>
          <w:p w:rsidR="007F7BE6" w:rsidRPr="00460D33" w:rsidRDefault="007F7BE6" w:rsidP="00BC0030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1</w:t>
            </w:r>
          </w:p>
        </w:tc>
        <w:tc>
          <w:tcPr>
            <w:tcW w:w="8910" w:type="dxa"/>
            <w:vAlign w:val="center"/>
          </w:tcPr>
          <w:p w:rsidR="007F7BE6" w:rsidRPr="00460D33" w:rsidRDefault="007F7BE6" w:rsidP="00BC0030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Sitting fee </w:t>
            </w:r>
            <w:r w:rsidRPr="00460D33">
              <w:rPr>
                <w:rFonts w:ascii="Rupee Foradian" w:hAnsi="Rupee Foradian" w:cs="Book Antiqua"/>
                <w:bCs/>
                <w:sz w:val="24"/>
                <w:szCs w:val="24"/>
              </w:rPr>
              <w:t>`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750/- can be claimed 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for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viva-voce Examination</w:t>
            </w:r>
          </w:p>
        </w:tc>
      </w:tr>
      <w:tr w:rsidR="007F7BE6" w:rsidRPr="00460D33" w:rsidTr="007F7BE6">
        <w:tc>
          <w:tcPr>
            <w:tcW w:w="648" w:type="dxa"/>
            <w:vAlign w:val="center"/>
          </w:tcPr>
          <w:p w:rsidR="007F7BE6" w:rsidRPr="00460D33" w:rsidRDefault="007F7BE6" w:rsidP="00BC0030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2</w:t>
            </w:r>
          </w:p>
        </w:tc>
        <w:tc>
          <w:tcPr>
            <w:tcW w:w="8910" w:type="dxa"/>
            <w:vAlign w:val="center"/>
          </w:tcPr>
          <w:p w:rsidR="007F7BE6" w:rsidRPr="00460D33" w:rsidRDefault="0065332A" w:rsidP="00603399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If t</w:t>
            </w:r>
            <w:r w:rsidR="007F7BE6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he examiner travelled </w:t>
            </w: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in </w:t>
            </w:r>
            <w:r w:rsidR="007F7BE6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Train, </w:t>
            </w:r>
            <w:r w:rsidR="00603399">
              <w:rPr>
                <w:rFonts w:ascii="Bookman Old Style" w:hAnsi="Bookman Old Style" w:cs="Book Antiqua"/>
                <w:bCs/>
                <w:sz w:val="24"/>
                <w:szCs w:val="24"/>
              </w:rPr>
              <w:t>c</w:t>
            </w:r>
            <w:r w:rsidR="007F7BE6"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opy of the train fare ticket </w:t>
            </w:r>
            <w:r w:rsidR="007F7BE6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should be </w:t>
            </w:r>
            <w:r w:rsidR="007F7BE6"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>enclosed with the claim form</w:t>
            </w:r>
          </w:p>
        </w:tc>
      </w:tr>
      <w:tr w:rsidR="007F7BE6" w:rsidRPr="00460D33" w:rsidTr="007F7BE6">
        <w:tc>
          <w:tcPr>
            <w:tcW w:w="648" w:type="dxa"/>
            <w:vAlign w:val="center"/>
          </w:tcPr>
          <w:p w:rsidR="007F7BE6" w:rsidRPr="00460D33" w:rsidRDefault="00F96FE4" w:rsidP="00BC0030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>
              <w:rPr>
                <w:rFonts w:ascii="Bookman Old Style" w:hAnsi="Bookman Old Style" w:cs="Book Antiqua"/>
                <w:bCs/>
                <w:sz w:val="24"/>
                <w:szCs w:val="24"/>
              </w:rPr>
              <w:t>3</w:t>
            </w:r>
          </w:p>
        </w:tc>
        <w:tc>
          <w:tcPr>
            <w:tcW w:w="8910" w:type="dxa"/>
            <w:vAlign w:val="center"/>
          </w:tcPr>
          <w:p w:rsidR="007F7BE6" w:rsidRPr="00460D33" w:rsidRDefault="007F7BE6" w:rsidP="00BC0030">
            <w:pPr>
              <w:autoSpaceDE w:val="0"/>
              <w:autoSpaceDN w:val="0"/>
              <w:adjustRightInd w:val="0"/>
              <w:rPr>
                <w:rFonts w:ascii="Bookman Old Style" w:hAnsi="Bookman Old Style" w:cs="Book Antiqua"/>
                <w:bCs/>
                <w:sz w:val="24"/>
                <w:szCs w:val="24"/>
              </w:rPr>
            </w:pP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The filled Claim form </w:t>
            </w:r>
            <w:r w:rsidRPr="00460D33">
              <w:rPr>
                <w:rFonts w:ascii="Bookman Old Style" w:hAnsi="Bookman Old Style" w:cs="Book Antiqua"/>
                <w:b/>
                <w:bCs/>
                <w:sz w:val="24"/>
                <w:szCs w:val="24"/>
              </w:rPr>
              <w:t>(original)</w:t>
            </w:r>
            <w:r w:rsidRPr="00460D33">
              <w:rPr>
                <w:rFonts w:ascii="Bookman Old Style" w:hAnsi="Bookman Old Style" w:cs="Book Antiqua"/>
                <w:bCs/>
                <w:sz w:val="24"/>
                <w:szCs w:val="24"/>
              </w:rPr>
              <w:t xml:space="preserve"> should be forwarded to the CoE office</w:t>
            </w:r>
            <w:r w:rsidR="00B1693C">
              <w:rPr>
                <w:rFonts w:ascii="Bookman Old Style" w:hAnsi="Bookman Old Style" w:cs="Book Antiqua"/>
                <w:bCs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3F0D13" w:rsidRDefault="003F0D13" w:rsidP="00063A8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 Antiqua"/>
          <w:b/>
          <w:bCs/>
          <w:sz w:val="24"/>
          <w:szCs w:val="24"/>
        </w:rPr>
      </w:pPr>
    </w:p>
    <w:sectPr w:rsidR="003F0D13" w:rsidSect="009B4A53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8CF" w:rsidRDefault="006218CF" w:rsidP="009B4A53">
      <w:pPr>
        <w:spacing w:after="0" w:line="240" w:lineRule="auto"/>
      </w:pPr>
      <w:r>
        <w:separator/>
      </w:r>
    </w:p>
  </w:endnote>
  <w:endnote w:type="continuationSeparator" w:id="0">
    <w:p w:rsidR="006218CF" w:rsidRDefault="006218CF" w:rsidP="009B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upee Foradian">
    <w:altName w:val="Malgun Gothic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8CF" w:rsidRDefault="006218CF" w:rsidP="009B4A53">
      <w:pPr>
        <w:spacing w:after="0" w:line="240" w:lineRule="auto"/>
      </w:pPr>
      <w:r>
        <w:separator/>
      </w:r>
    </w:p>
  </w:footnote>
  <w:footnote w:type="continuationSeparator" w:id="0">
    <w:p w:rsidR="006218CF" w:rsidRDefault="006218CF" w:rsidP="009B4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F0830"/>
    <w:multiLevelType w:val="hybridMultilevel"/>
    <w:tmpl w:val="7C460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A8E"/>
    <w:rsid w:val="000033DD"/>
    <w:rsid w:val="00046CFC"/>
    <w:rsid w:val="00063A8E"/>
    <w:rsid w:val="00063EEF"/>
    <w:rsid w:val="00074B93"/>
    <w:rsid w:val="000A618A"/>
    <w:rsid w:val="000C71EE"/>
    <w:rsid w:val="000D058F"/>
    <w:rsid w:val="001058B5"/>
    <w:rsid w:val="001239BA"/>
    <w:rsid w:val="001324CB"/>
    <w:rsid w:val="00143E73"/>
    <w:rsid w:val="001552B1"/>
    <w:rsid w:val="001720BB"/>
    <w:rsid w:val="001B7F03"/>
    <w:rsid w:val="001E59DC"/>
    <w:rsid w:val="00205A58"/>
    <w:rsid w:val="00230917"/>
    <w:rsid w:val="00247F22"/>
    <w:rsid w:val="002603C6"/>
    <w:rsid w:val="002618E2"/>
    <w:rsid w:val="002B50D9"/>
    <w:rsid w:val="002D525E"/>
    <w:rsid w:val="003001D4"/>
    <w:rsid w:val="003270CD"/>
    <w:rsid w:val="0038726F"/>
    <w:rsid w:val="00387A2B"/>
    <w:rsid w:val="00390CDC"/>
    <w:rsid w:val="003D68A1"/>
    <w:rsid w:val="003F0D13"/>
    <w:rsid w:val="003F7059"/>
    <w:rsid w:val="004043E3"/>
    <w:rsid w:val="00412C5F"/>
    <w:rsid w:val="004417F9"/>
    <w:rsid w:val="00453311"/>
    <w:rsid w:val="0045339E"/>
    <w:rsid w:val="00460571"/>
    <w:rsid w:val="00460D33"/>
    <w:rsid w:val="004A249F"/>
    <w:rsid w:val="004D6CAB"/>
    <w:rsid w:val="004E6034"/>
    <w:rsid w:val="005143E9"/>
    <w:rsid w:val="00547D65"/>
    <w:rsid w:val="00553F56"/>
    <w:rsid w:val="0058617E"/>
    <w:rsid w:val="00594985"/>
    <w:rsid w:val="005A3B3F"/>
    <w:rsid w:val="005C7698"/>
    <w:rsid w:val="005D1E92"/>
    <w:rsid w:val="005D1FC5"/>
    <w:rsid w:val="005D35AC"/>
    <w:rsid w:val="005F0E7A"/>
    <w:rsid w:val="005F102E"/>
    <w:rsid w:val="00603399"/>
    <w:rsid w:val="00610502"/>
    <w:rsid w:val="00610E08"/>
    <w:rsid w:val="006218CF"/>
    <w:rsid w:val="0065332A"/>
    <w:rsid w:val="006829C9"/>
    <w:rsid w:val="00694261"/>
    <w:rsid w:val="006B5D79"/>
    <w:rsid w:val="006C3BE7"/>
    <w:rsid w:val="006E3E0D"/>
    <w:rsid w:val="00735E04"/>
    <w:rsid w:val="007476A1"/>
    <w:rsid w:val="00781CB5"/>
    <w:rsid w:val="00781EE3"/>
    <w:rsid w:val="00792BF9"/>
    <w:rsid w:val="007A6416"/>
    <w:rsid w:val="007B3355"/>
    <w:rsid w:val="007D4314"/>
    <w:rsid w:val="007F7BE6"/>
    <w:rsid w:val="007F7C90"/>
    <w:rsid w:val="008339D4"/>
    <w:rsid w:val="00844345"/>
    <w:rsid w:val="00884D58"/>
    <w:rsid w:val="00927005"/>
    <w:rsid w:val="00930C37"/>
    <w:rsid w:val="00953F13"/>
    <w:rsid w:val="00957689"/>
    <w:rsid w:val="00957A91"/>
    <w:rsid w:val="00970C38"/>
    <w:rsid w:val="009A34A6"/>
    <w:rsid w:val="009A7809"/>
    <w:rsid w:val="009B4A53"/>
    <w:rsid w:val="009B50CB"/>
    <w:rsid w:val="009C3B6F"/>
    <w:rsid w:val="00A00965"/>
    <w:rsid w:val="00A638C1"/>
    <w:rsid w:val="00A6469C"/>
    <w:rsid w:val="00A938EE"/>
    <w:rsid w:val="00AB5CF8"/>
    <w:rsid w:val="00AC60A4"/>
    <w:rsid w:val="00AD5C4D"/>
    <w:rsid w:val="00B1693C"/>
    <w:rsid w:val="00B46655"/>
    <w:rsid w:val="00B644F6"/>
    <w:rsid w:val="00B73000"/>
    <w:rsid w:val="00B9547B"/>
    <w:rsid w:val="00BC0030"/>
    <w:rsid w:val="00BF5009"/>
    <w:rsid w:val="00BF77DC"/>
    <w:rsid w:val="00C147FD"/>
    <w:rsid w:val="00C209BF"/>
    <w:rsid w:val="00C24734"/>
    <w:rsid w:val="00C66175"/>
    <w:rsid w:val="00C704DA"/>
    <w:rsid w:val="00C97319"/>
    <w:rsid w:val="00CA4ED9"/>
    <w:rsid w:val="00CB0C8F"/>
    <w:rsid w:val="00CB4DD8"/>
    <w:rsid w:val="00CB4ED4"/>
    <w:rsid w:val="00CD4F1B"/>
    <w:rsid w:val="00CD7E6E"/>
    <w:rsid w:val="00D142F4"/>
    <w:rsid w:val="00D34281"/>
    <w:rsid w:val="00D3524A"/>
    <w:rsid w:val="00D36F1F"/>
    <w:rsid w:val="00D403FF"/>
    <w:rsid w:val="00D4724A"/>
    <w:rsid w:val="00D5156F"/>
    <w:rsid w:val="00D71E8E"/>
    <w:rsid w:val="00D7491A"/>
    <w:rsid w:val="00D947BB"/>
    <w:rsid w:val="00DD320F"/>
    <w:rsid w:val="00DE34C9"/>
    <w:rsid w:val="00E0393C"/>
    <w:rsid w:val="00E16D58"/>
    <w:rsid w:val="00E27765"/>
    <w:rsid w:val="00E67668"/>
    <w:rsid w:val="00E77C67"/>
    <w:rsid w:val="00E96C74"/>
    <w:rsid w:val="00EA21CC"/>
    <w:rsid w:val="00EA259B"/>
    <w:rsid w:val="00EA5236"/>
    <w:rsid w:val="00EA59E9"/>
    <w:rsid w:val="00EA6FEF"/>
    <w:rsid w:val="00EC6C50"/>
    <w:rsid w:val="00EE078B"/>
    <w:rsid w:val="00EF55A7"/>
    <w:rsid w:val="00F12CEC"/>
    <w:rsid w:val="00F142D7"/>
    <w:rsid w:val="00F53667"/>
    <w:rsid w:val="00F55ACD"/>
    <w:rsid w:val="00F60AFE"/>
    <w:rsid w:val="00F65B82"/>
    <w:rsid w:val="00F67566"/>
    <w:rsid w:val="00F84139"/>
    <w:rsid w:val="00F9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F88E9C-F13F-492E-9102-675B7EA1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249F"/>
    <w:pPr>
      <w:spacing w:after="0" w:line="240" w:lineRule="auto"/>
      <w:ind w:firstLine="720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9B4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4A53"/>
  </w:style>
  <w:style w:type="paragraph" w:styleId="Footer">
    <w:name w:val="footer"/>
    <w:basedOn w:val="Normal"/>
    <w:link w:val="FooterChar"/>
    <w:uiPriority w:val="99"/>
    <w:unhideWhenUsed/>
    <w:rsid w:val="009B4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A53"/>
  </w:style>
  <w:style w:type="paragraph" w:styleId="ListParagraph">
    <w:name w:val="List Paragraph"/>
    <w:basedOn w:val="Normal"/>
    <w:uiPriority w:val="34"/>
    <w:qFormat/>
    <w:rsid w:val="007A6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karunya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ctc</dc:creator>
  <cp:keywords/>
  <dc:description/>
  <cp:lastModifiedBy>Dr. Lydia M.   </cp:lastModifiedBy>
  <cp:revision>92</cp:revision>
  <cp:lastPrinted>2016-01-25T09:57:00Z</cp:lastPrinted>
  <dcterms:created xsi:type="dcterms:W3CDTF">2015-12-10T10:27:00Z</dcterms:created>
  <dcterms:modified xsi:type="dcterms:W3CDTF">2017-08-21T11:01:00Z</dcterms:modified>
</cp:coreProperties>
</file>